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Взаимная связь электрических и магнитных полей была установлена выдающимся английским физиком М. Фарадеем в 1831 г. Он открыл явление электромагнитной индукции. Оно заключается в возникновении электрического тока в замкнутом проводящем контуре при изменении во времени магнитного потока, пронизывающего контур.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Явление электромагнитной индукции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заключается в возникновении электрического тока в замкнутом контуре при изменении магнитного потока, пронизывающего контур.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Магнитным потоком Φ через площадь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контура называют величину Ф 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BScos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модуль вектора магнитной индукции, α – угол между вектором B и нормалью n к плоскости контура.</w:t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 электромагнитной индукции Фарадей исследовал с помощью двух изолированных друг от друга проволочных спиралей, намотанных на деревянную катушку. Одна спираль была присоединена к гальванической батарее, а другая — к гальванометру, регистрирующему слабые токи. В моменты замыкания и размыкания цепи первой спира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стрелка гальванометра в цепи второй спирали отклонялась.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Опыты Фарадея.</w:t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 Фарадея по исследованию ЭМИ можно разделить на две серии: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возникновение индукционного тока при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вдвигании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выдвигании магнита (катушки с током);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EE0816" wp14:editId="2FB940DC">
            <wp:extent cx="2771775" cy="3790950"/>
            <wp:effectExtent l="0" t="0" r="9525" b="0"/>
            <wp:docPr id="8" name="Рисунок 8" descr="http://infofiz.ru/images/fizika/formuly/eld/opyt_Ferede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fizika/formuly/eld/opyt_Feredey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0F9FDFA" wp14:editId="419159A7">
            <wp:extent cx="2447925" cy="3790950"/>
            <wp:effectExtent l="0" t="0" r="9525" b="0"/>
            <wp:docPr id="7" name="Рисунок 7" descr="http://infofiz.ru/images/fizika/formuly/eld/opyt_Ferede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fizika/formuly/eld/opyt_Feredey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Объяснение опыта: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внесении магнита в катушку, соединенную с амперметром в цепи возникает индукционный ток. При удалении так же возникает индукционный ток, но другого направления. Видно, что индукционный ток зависит от направления движения магнита, и каким полюсом он вносится. Сила тока зависит от скорости движения магнита.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возникновение индукционного тока в одной катушке при изменении тока в другой катушке.</w:t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294300" wp14:editId="49FBF69F">
            <wp:extent cx="3028950" cy="3705225"/>
            <wp:effectExtent l="0" t="0" r="0" b="9525"/>
            <wp:docPr id="6" name="Рисунок 6" descr="http://infofiz.ru/images/fizika/formuly/eld/opyt_Farade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fizika/formuly/eld/opyt_Faradey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30FE43" wp14:editId="0C974A07">
            <wp:extent cx="2857500" cy="3705225"/>
            <wp:effectExtent l="0" t="0" r="0" b="9525"/>
            <wp:docPr id="5" name="Рисунок 5" descr="http://infofiz.ru/images/fizika/formuly/eld/opyt_Ferede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fizika/formuly/eld/opyt_Feredey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FFA16C" wp14:editId="43E06C86">
            <wp:extent cx="3057525" cy="3705225"/>
            <wp:effectExtent l="0" t="0" r="9525" b="9525"/>
            <wp:docPr id="4" name="Рисунок 4" descr="http://infofiz.ru/images/fizika/formuly/eld/opyt_Farade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fizika/formuly/eld/opyt_Faradey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Объяснение опыта: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электрический ток в катушке 2 возникает в моменты замыкания и размыкания ключа в цепи катушки 1. Видно, что направление тока зависит от того,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замыкаюи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размыкают цепь катушки 1,  т.е. от того, увеличивается (при замыкании цепи) или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уменьшаетя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размыкании цепи) магнитный поток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ронизывающий 1-ю катушку.</w:t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 многочисленные 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Фарадей установил, что в замкнутых проводящих контурах электрический ток возникает лишь в тех случаях, когда они находятся в переменном магнитном поле, независимо от того, каким способом достигается изменение потока индукции магнитного поля во времени.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Ток, возникающий при явлении электромагнитной индукции, называют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индукционным.</w:t>
      </w:r>
    </w:p>
    <w:p w:rsidR="00B63BCE" w:rsidRPr="00B63BCE" w:rsidRDefault="00B63BCE" w:rsidP="00B63BCE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Строго говоря, при движении контура в магнитном поле генерируется не определенный ток (который зависит от сопротивления), а 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определенная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д. с.</w:t>
      </w:r>
    </w:p>
    <w:p w:rsidR="00B63BCE" w:rsidRPr="00B63BCE" w:rsidRDefault="00B63BCE" w:rsidP="00B63BCE">
      <w:pPr>
        <w:shd w:val="clear" w:color="auto" w:fill="FDFDFD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Фарадей экспериментально установил, что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при изменении магнитного потока в проводящем контуре возникает ЭДС индукции </w:t>
      </w:r>
      <w:proofErr w:type="spellStart"/>
      <w:proofErr w:type="gram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E</w:t>
      </w:r>
      <w:proofErr w:type="gramEnd"/>
      <w:r w:rsidRPr="00B63BCE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8"/>
          <w:bdr w:val="none" w:sz="0" w:space="0" w:color="auto" w:frame="1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равная скорости изменения магнитного потока через поверхность, ограниченную контуром, взятой со знаком минус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B024AD" wp14:editId="677BCC13">
            <wp:extent cx="971550" cy="428625"/>
            <wp:effectExtent l="0" t="0" r="0" b="9525"/>
            <wp:docPr id="3" name="Рисунок 3" descr="lr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1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формула выражает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закон Фарадея: </w:t>
      </w:r>
      <w:r w:rsidRPr="00B63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э. д. с. индукции равна скорости изменения магнитного потока через поверхность, ограни</w:t>
      </w:r>
      <w:r w:rsidRPr="00B63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softHyphen/>
        <w:t>ченную контуром.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минус в формуле отражает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правило Ленца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1833 году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Ленц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опытным путем доказал утверждение, которое называется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правилом Ленца: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3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индукционный ток, возбуждаемый в замкнутом контуре при изменении магнитного потока, всегда направлен так, что создаваемое им магнитное поле препятствует изменению магнитного потока, вызывающего индукционный ток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 возрастании магнитного потока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Ф&gt;0, а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ε</w:t>
      </w:r>
      <w:r w:rsidRPr="00B63B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0, т.е.   э. д. с. индукции вызывает ток такого направления, при котором его маг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нитное поле уменьшает магнитный поток через контур.</w:t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 уменьшении магнитного потока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Ф&lt;0, а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ε</w:t>
      </w:r>
      <w:r w:rsidRPr="00B63BC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 0, т.е. магнитное поле индукционного тока увеличивает убывающий магнитный поток через контур.</w:t>
      </w:r>
    </w:p>
    <w:p w:rsidR="00B63BCE" w:rsidRPr="00B63BCE" w:rsidRDefault="00B63BCE" w:rsidP="00B63BCE">
      <w:pPr>
        <w:shd w:val="clear" w:color="auto" w:fill="FDFDFD"/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Правило Ленца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имеет глубокий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физический смысл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оно выражает закон сохранения энергии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магнитное поле через контур увеличивается, то ток в контуре направлен так, что его магнитное поле направлено против внешнего, а если внешнее магнитное поле через контур уменьшается, то ток направлен так, что его магнитное поле поддерживает это убывающее магнитное поле.</w:t>
      </w:r>
      <w:proofErr w:type="gramEnd"/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ЭДС индукции зависит от разных причин. Если вдвигать в катушку один раз сильный магнит, а в другой — слабый, то показания прибора в первом случае будут более высокими. Они будут более высокими и в том случае, когда магнит движется быстро. В каждом из 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проведённых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работе опыте направление индукционного тока определяется правилом Ленца. Порядок определения направления индукционного тока показан на рисунке.</w:t>
      </w:r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50DCD5" wp14:editId="20348862">
            <wp:extent cx="2476500" cy="1028700"/>
            <wp:effectExtent l="0" t="0" r="0" b="0"/>
            <wp:docPr id="2" name="Рисунок 2" descr="http://infofiz.ru/images/stories/lkft/el/lr10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lr10t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72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60E980" wp14:editId="12EA9B6F">
            <wp:extent cx="1800225" cy="876300"/>
            <wp:effectExtent l="0" t="0" r="9525" b="0"/>
            <wp:docPr id="1" name="Рисунок 1" descr="http://infofiz.ru/images/stories/lkft/el/lr10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lr10t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 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синим цветом обозначены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силовые линии магнитного поля постоянного магнита и линии магнитного поля индукционного тока. Силовые линии магнитного поля всегда направлены от N к S – от северного полюса к южному полюсу магнита.</w:t>
      </w:r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правилу Ленца индукционный электрический ток в проводнике, возникающий при изменении магнитного потока, направлен таким образом, что его магнитное поле противодействует изменению магнитного потока. Поэтому в катушке направление силовых линий  магнитного поля противоположно силовым линиям постоянного магнита, ведь магнит движется в сторону катушки. Направление тока находим по правилу буравчика: если буравчик (с правой нарезкой) ввинчивать так, чтобы его поступательное движение совпало с направлением линий индукции в катушке, тогда направление вращения рукоятки буравчика совпадает с направлением индукционного тока.</w:t>
      </w:r>
    </w:p>
    <w:p w:rsidR="00B63BCE" w:rsidRPr="00B63BCE" w:rsidRDefault="00B63BCE" w:rsidP="00B63BCE">
      <w:pPr>
        <w:shd w:val="clear" w:color="auto" w:fill="FDFDFD"/>
        <w:spacing w:after="15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ток через миллиамперметр течёт слева направо, как показано на рисунке красной стрелкой. В случае,  когда магнит отодвигается от катушки, силовые линии магнитного поля индукционного тока будут совпадать по направлению с силовыми линиями постоянного магнита, и ток будет течь справа налево.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магнитного потока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пронизывающего замкнутый контур, может происходить по двум причинам.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Магнитный поток изменяется вследствие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перемещения контура или его частей в постоянном во времени магнитном поле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случай, когда проводники, а вместе с ними и свободные носители заряда, движутся в магнитном поле. Возникновение ЭДС индукции объясняется действием силы Лоренца на свободные заряды в движущихся проводниках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Электродвижущая сила в цепи — это результат действия сторонних сил, т.е. сил неэлектрического происхождения.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Сила Лоренца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играет в этом случае роль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сторонней силы,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действием которой происходит разделение зарядов, в результате чего на концах проводника по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является разность потенциалов.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Рассмотрим в качестве примера возникновение ЭДС индукции в прямоугольном контуре, помещенном в однородное магнитное поле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перпендикулярное плоскости контура. Пусть одна из сторон контура длиной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скользит со скоростью v по двум другим сторонам.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свободные заряды на этом участке контура действует сила Лоренца. Составляющая силы Лоренца, действующая на свободный электрон, связанная с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переносной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скоростью v зарядов, направлена вдоль проводника. Эта составляющая указана на рис. 3. Это она играет роль сторонней силы. Ее модуль равен </w:t>
      </w:r>
      <w:proofErr w:type="gram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υ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proofErr w:type="spellEnd"/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 д. с. индукции в проводнике характеризует работу по перемещению единичного положительного заряда вдоль проводника.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силы </w:t>
      </w:r>
      <w:proofErr w:type="gram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пути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равна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·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υ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Bl</w:t>
      </w:r>
      <w:proofErr w:type="spellEnd"/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определению ЭДС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других неподвижных частях контура сторонняя сила равна нулю. Соотношению для 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можно придать привычный вид. За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времы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площадь контура изменяется на 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υΔ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Изменение магнитного потока за это время равно ΔΦ = </w:t>
      </w:r>
      <w:proofErr w:type="spell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Bl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υΔ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Следовательно,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сопротивление всей цепи равно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по ней будет протекать индукционный ток, равный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63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</w:t>
      </w:r>
      <w:proofErr w:type="gramEnd"/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= </w:t>
      </w:r>
      <w:proofErr w:type="spellStart"/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r w:rsidRPr="00B63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R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время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сопротивлении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R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выделится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джоулево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 вопрос: откуда берется эта энергия, ведь сила Лоренца работы не совершает! Этот парадокс возник потому, что мы учли работу только одной составляющей силы Лоренца. При протекании индукционного тока по проводнику, находящемуся в магнитном поле, на свободные заряды действует еще одна составляющая силы Лоренца, связанная с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относительной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скоростью движения зарядов вдоль проводника. Эта составляющая ответственна за появление силы Ампера F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A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 Для случая, изображенного на рис. 3, модуль силы Ампера равен 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A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IBl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Сила Ампера направлена навстречу движения проводника; поэтому она совершает отрицательную механическую работу. За время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Δ</w:t>
      </w:r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эта работа </w:t>
      </w:r>
      <w:proofErr w:type="spellStart"/>
      <w:proofErr w:type="gramStart"/>
      <w:r w:rsidRPr="00B63B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мех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равна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Движущийся в магнитном поле проводник, по которому протекает индукционный ток, испытывает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магнитное торможение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Полная работа силы Лоренца равна нулю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Джоулево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 в контуре выделяется либо за счет работы внешней силы, которая поддерживает скорость проводника неизменной, либо за счет уменьшения кинетической энергии проводника.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провод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ника вправо свободные электроны, содержащиеся в нем, будут двигаться также вправо, т. е. возникает конвекционный ток. Направление этого тока обратно направлению движения электронов.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каждый движущийся электрон со стороны магнитного поля действует сила Лоренца </w:t>
      </w:r>
      <w:proofErr w:type="spellStart"/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Заряд электрона — отрицательный. Поэтому сила Лоренца направлена вниз.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действием этой силы электроны будут двигаться вниз, поэтому в нижней части проводника l накапли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ваются отрицательные заряды, а в верхней — положительные. Образуется разность потенциалов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проводнике возникает электрическое поле напряженностью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препятствует дальнейшему перемещению электро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момент, когда сила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эл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действующая на заряды со стороны этого электрического поля, станет равной по модулю силе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Fл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evBsin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α, действую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щей на заряды со стороны магнитного поля, т.е. при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evBsin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  или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vBsin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  , заряды перестанут перемещаться.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Напряженность электрического поля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движущемся проводнике длиной l и разность потенциалов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между собой соотношением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El</w:t>
      </w:r>
      <w:proofErr w:type="spellEnd"/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φ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vBlsin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такой проводник замкнуть, то по цепи пойдет ток. Таким образом, на концах проводника индуцируется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э.д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3BCE" w:rsidRPr="00B63BCE" w:rsidRDefault="00B63BCE" w:rsidP="00B63BCE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ε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инд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proofErr w:type="spell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vBlsin</w:t>
      </w:r>
      <w:proofErr w:type="spellEnd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Вторая причина изменения магнитного потока, пронизывающего контур, –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во времени магнитного поля при неподвижном контуре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возникновение ЭДС индукции уже нельзя объяснить действием силы Лоренца. Электроны в неподвижном проводнике могут приводиться в движение только электрическим полем. Это электрическое поле порождается изменяющимся во времени магнитным полем. Работа этого поля при перемещении единичного положительного заряда по замкнутому контуру равна ЭДС индукции в неподвижном проводнике. Следовательно, электрическое поле, порожденное изменяющимся магнитным полем,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является 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потенциальным. Его называют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вихревым электрическим полем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Представление о вихревом электрическом поле было введено в физику великим английским физиком Дж. Максвеллом (1861 г.).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Явление электромагнитной индукции в неподвижных проводниках, возникающее при изменении окружающего магнитного поля, также описывается формулой Фарадея.</w:t>
      </w:r>
    </w:p>
    <w:p w:rsidR="00B63BCE" w:rsidRP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явления индукции в движущихся и неподвижных проводниках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протекают одинаково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физическая причина возникновения индукционного тока оказывается в этих двух случаях различной: в случае движущихся проводников ЭДС индукции обусловлена силой Лоренца; в случае неподвижных проводников ЭДС индукции является следствием действия на свободные заряды вихревого электрического поля, возникающего при изменении магнитного поля.</w:t>
      </w:r>
      <w:proofErr w:type="gramEnd"/>
    </w:p>
    <w:p w:rsidR="00B63BCE" w:rsidRDefault="00B63BCE" w:rsidP="00B63B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 электромагнитной индукции лежит в основе действия 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электриче</w:t>
      </w:r>
      <w:r w:rsidRPr="00B6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ских генераторов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равномерно вращать проволочную рамку в однородном магнитном поле, то возникает индуцированный ток, периодически изменяющий свое направление. Даже одиночная рамка, вращающаяся в однородном маг</w:t>
      </w:r>
      <w:r w:rsidRPr="00B6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нитном поле, представляет собой генератор переменного тока. Более сложные генераторы обычно являются улучшенными вариантами такого устройства.</w:t>
      </w:r>
    </w:p>
    <w:p w:rsidR="0024672C" w:rsidRDefault="0024672C" w:rsidP="0024672C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</w:p>
    <w:p w:rsidR="0024672C" w:rsidRDefault="0024672C" w:rsidP="0024672C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</w:p>
    <w:p w:rsidR="0024672C" w:rsidRDefault="0024672C" w:rsidP="0024672C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</w:p>
    <w:p w:rsidR="0024672C" w:rsidRDefault="0024672C" w:rsidP="0024672C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</w:p>
    <w:p w:rsidR="0024672C" w:rsidRPr="0024672C" w:rsidRDefault="0024672C" w:rsidP="0024672C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  <w:r w:rsidRPr="0024672C">
        <w:rPr>
          <w:rFonts w:ascii="Arial" w:eastAsia="Times New Roman" w:hAnsi="Arial" w:cs="Arial"/>
          <w:color w:val="843A04"/>
          <w:sz w:val="45"/>
          <w:szCs w:val="45"/>
          <w:lang w:eastAsia="ru-RU"/>
        </w:rPr>
        <w:t>Электромагнитная индукция в схемах и таблицах</w:t>
      </w:r>
    </w:p>
    <w:p w:rsidR="0024672C" w:rsidRPr="0024672C" w:rsidRDefault="0024672C" w:rsidP="0024672C">
      <w:pPr>
        <w:shd w:val="clear" w:color="auto" w:fill="FCFCFC"/>
        <w:spacing w:after="225" w:line="225" w:lineRule="atLeast"/>
        <w:jc w:val="center"/>
        <w:textAlignment w:val="baseline"/>
        <w:outlineLvl w:val="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67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(Явление электромагнитной индукции, опыты Фарадея, правило Ленца, закон электромагнитной индукции, вихревое электрическое поле, самоиндукция, индуктивность, энергия магнитного поля тока)</w:t>
      </w:r>
    </w:p>
    <w:p w:rsidR="0024672C" w:rsidRPr="0024672C" w:rsidRDefault="0024672C" w:rsidP="0024672C">
      <w:pPr>
        <w:shd w:val="clear" w:color="auto" w:fill="FCFCFC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6313209" cy="8604000"/>
            <wp:effectExtent l="0" t="0" r="0" b="6985"/>
            <wp:docPr id="10" name="Рисунок 10" descr="электромагнитная инд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лектромагнитная индук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09" cy="8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2C" w:rsidRPr="0024672C" w:rsidRDefault="0024672C" w:rsidP="0024672C">
      <w:pPr>
        <w:shd w:val="clear" w:color="auto" w:fill="FCFCFC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>
            <wp:extent cx="6312383" cy="9180000"/>
            <wp:effectExtent l="0" t="0" r="0" b="2540"/>
            <wp:docPr id="9" name="Рисунок 9" descr="вихревое электрическ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хревое электрическое по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83" cy="9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72C" w:rsidRPr="0024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5AB"/>
    <w:multiLevelType w:val="multilevel"/>
    <w:tmpl w:val="A81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406BB"/>
    <w:multiLevelType w:val="multilevel"/>
    <w:tmpl w:val="AEC6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403C2"/>
    <w:multiLevelType w:val="multilevel"/>
    <w:tmpl w:val="A1E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E"/>
    <w:rsid w:val="00003303"/>
    <w:rsid w:val="000B40A4"/>
    <w:rsid w:val="0024672C"/>
    <w:rsid w:val="006C77E4"/>
    <w:rsid w:val="00B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467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B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67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8">
    <w:name w:val="c18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72C"/>
  </w:style>
  <w:style w:type="paragraph" w:customStyle="1" w:styleId="c11">
    <w:name w:val="c11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672C"/>
  </w:style>
  <w:style w:type="paragraph" w:styleId="a7">
    <w:name w:val="List Paragraph"/>
    <w:basedOn w:val="a"/>
    <w:uiPriority w:val="34"/>
    <w:qFormat/>
    <w:rsid w:val="0024672C"/>
    <w:pPr>
      <w:ind w:left="720"/>
      <w:contextualSpacing/>
    </w:pPr>
  </w:style>
  <w:style w:type="paragraph" w:customStyle="1" w:styleId="c15">
    <w:name w:val="c15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467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B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67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8">
    <w:name w:val="c18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72C"/>
  </w:style>
  <w:style w:type="paragraph" w:customStyle="1" w:styleId="c11">
    <w:name w:val="c11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672C"/>
  </w:style>
  <w:style w:type="paragraph" w:styleId="a7">
    <w:name w:val="List Paragraph"/>
    <w:basedOn w:val="a"/>
    <w:uiPriority w:val="34"/>
    <w:qFormat/>
    <w:rsid w:val="0024672C"/>
    <w:pPr>
      <w:ind w:left="720"/>
      <w:contextualSpacing/>
    </w:pPr>
  </w:style>
  <w:style w:type="paragraph" w:customStyle="1" w:styleId="c15">
    <w:name w:val="c15"/>
    <w:basedOn w:val="a"/>
    <w:rsid w:val="0024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2020-04-08T08:19:00Z</dcterms:created>
  <dcterms:modified xsi:type="dcterms:W3CDTF">2020-04-16T05:23:00Z</dcterms:modified>
</cp:coreProperties>
</file>